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F76AFA6" wp14:paraId="087311C8" wp14:textId="1C4230C3">
      <w:pPr>
        <w:spacing w:after="160" w:line="259" w:lineRule="auto"/>
        <w:rPr>
          <w:rFonts w:ascii="Calibri" w:hAnsi="Calibri" w:eastAsia="Calibri" w:cs="Calibri"/>
          <w:b w:val="0"/>
          <w:bCs w:val="0"/>
          <w:i w:val="0"/>
          <w:iCs w:val="0"/>
          <w:caps w:val="0"/>
          <w:smallCaps w:val="0"/>
          <w:noProof w:val="0"/>
          <w:color w:val="000000" w:themeColor="text1" w:themeTint="FF" w:themeShade="FF"/>
          <w:sz w:val="32"/>
          <w:szCs w:val="32"/>
          <w:lang w:val="en-US"/>
        </w:rPr>
      </w:pPr>
    </w:p>
    <w:p xmlns:wp14="http://schemas.microsoft.com/office/word/2010/wordml" w:rsidP="0F76AFA6" wp14:paraId="40D836EF" wp14:textId="3C522966">
      <w:pPr>
        <w:spacing w:after="160" w:line="259" w:lineRule="auto"/>
        <w:rPr>
          <w:rFonts w:ascii="Calibri" w:hAnsi="Calibri" w:eastAsia="Calibri" w:cs="Calibri"/>
          <w:b w:val="0"/>
          <w:bCs w:val="0"/>
          <w:i w:val="0"/>
          <w:iCs w:val="0"/>
          <w:caps w:val="0"/>
          <w:smallCaps w:val="0"/>
          <w:noProof w:val="0"/>
          <w:color w:val="000000" w:themeColor="text1" w:themeTint="FF" w:themeShade="FF"/>
          <w:sz w:val="32"/>
          <w:szCs w:val="32"/>
          <w:lang w:val="en-US"/>
        </w:rPr>
      </w:pPr>
    </w:p>
    <w:p xmlns:wp14="http://schemas.microsoft.com/office/word/2010/wordml" w:rsidP="0F76AFA6" wp14:paraId="57B9D511" wp14:textId="7679E36E">
      <w:pPr>
        <w:spacing w:after="160" w:line="259" w:lineRule="auto"/>
        <w:jc w:val="center"/>
        <w:rPr>
          <w:rFonts w:ascii="Calibri" w:hAnsi="Calibri" w:eastAsia="Calibri" w:cs="Calibri"/>
          <w:b w:val="0"/>
          <w:bCs w:val="0"/>
          <w:i w:val="0"/>
          <w:iCs w:val="0"/>
          <w:caps w:val="0"/>
          <w:smallCaps w:val="0"/>
          <w:noProof w:val="0"/>
          <w:color w:val="5B9BD5" w:themeColor="accent5" w:themeTint="FF" w:themeShade="FF"/>
          <w:sz w:val="36"/>
          <w:szCs w:val="36"/>
          <w:lang w:val="en-US"/>
        </w:rPr>
      </w:pPr>
      <w:r w:rsidRPr="0F76AFA6" w:rsidR="40D68ABA">
        <w:rPr>
          <w:rFonts w:ascii="Calibri" w:hAnsi="Calibri" w:eastAsia="Calibri" w:cs="Calibri"/>
          <w:b w:val="1"/>
          <w:bCs w:val="1"/>
          <w:i w:val="0"/>
          <w:iCs w:val="0"/>
          <w:caps w:val="0"/>
          <w:smallCaps w:val="0"/>
          <w:strike w:val="0"/>
          <w:dstrike w:val="0"/>
          <w:noProof w:val="0"/>
          <w:color w:val="5B9BD5" w:themeColor="accent5" w:themeTint="FF" w:themeShade="FF"/>
          <w:sz w:val="36"/>
          <w:szCs w:val="36"/>
          <w:u w:val="single"/>
          <w:lang w:val="en-US"/>
        </w:rPr>
        <w:t>Requirements of revenue cycle management company accreditation RCM</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95"/>
        <w:gridCol w:w="8850"/>
      </w:tblGrid>
      <w:tr w:rsidR="0F76AFA6" w:rsidTr="0F76AFA6" w14:paraId="070DCB42">
        <w:trPr>
          <w:trHeight w:val="300"/>
        </w:trPr>
        <w:tc>
          <w:tcPr>
            <w:tcW w:w="495" w:type="dxa"/>
            <w:shd w:val="clear" w:color="auto" w:fill="5B9BD5" w:themeFill="accent5"/>
            <w:tcMar>
              <w:left w:w="105" w:type="dxa"/>
              <w:right w:w="105" w:type="dxa"/>
            </w:tcMar>
            <w:vAlign w:val="top"/>
          </w:tcPr>
          <w:p w:rsidR="0F76AFA6" w:rsidP="0F76AFA6" w:rsidRDefault="0F76AFA6" w14:paraId="6E002CE9" w14:textId="2CF14B9F">
            <w:pPr>
              <w:spacing w:line="259" w:lineRule="auto"/>
              <w:rPr>
                <w:rFonts w:ascii="Calibri" w:hAnsi="Calibri" w:eastAsia="Calibri" w:cs="Calibri"/>
                <w:b w:val="0"/>
                <w:bCs w:val="0"/>
                <w:i w:val="0"/>
                <w:iCs w:val="0"/>
                <w:sz w:val="22"/>
                <w:szCs w:val="22"/>
              </w:rPr>
            </w:pPr>
          </w:p>
        </w:tc>
        <w:tc>
          <w:tcPr>
            <w:tcW w:w="8850" w:type="dxa"/>
            <w:shd w:val="clear" w:color="auto" w:fill="5B9BD5" w:themeFill="accent5"/>
            <w:tcMar>
              <w:left w:w="105" w:type="dxa"/>
              <w:right w:w="105" w:type="dxa"/>
            </w:tcMar>
            <w:vAlign w:val="top"/>
          </w:tcPr>
          <w:p w:rsidR="0F76AFA6" w:rsidP="0F76AFA6" w:rsidRDefault="0F76AFA6" w14:paraId="5EA1FA10" w14:textId="5B0B332D">
            <w:pPr>
              <w:spacing w:line="259" w:lineRule="auto"/>
              <w:jc w:val="center"/>
              <w:rPr>
                <w:rFonts w:ascii="Calibri" w:hAnsi="Calibri" w:eastAsia="Calibri" w:cs="Calibri"/>
                <w:b w:val="0"/>
                <w:bCs w:val="0"/>
                <w:i w:val="0"/>
                <w:iCs w:val="0"/>
                <w:color w:val="FFFFFF" w:themeColor="background1" w:themeTint="FF" w:themeShade="FF"/>
                <w:sz w:val="36"/>
                <w:szCs w:val="36"/>
              </w:rPr>
            </w:pPr>
            <w:r w:rsidRPr="0F76AFA6" w:rsidR="0F76AFA6">
              <w:rPr>
                <w:rFonts w:ascii="Calibri" w:hAnsi="Calibri" w:eastAsia="Calibri" w:cs="Calibri"/>
                <w:b w:val="0"/>
                <w:bCs w:val="0"/>
                <w:i w:val="0"/>
                <w:iCs w:val="0"/>
                <w:color w:val="FFFFFF" w:themeColor="background1" w:themeTint="FF" w:themeShade="FF"/>
                <w:sz w:val="36"/>
                <w:szCs w:val="36"/>
                <w:lang w:val="en-US"/>
              </w:rPr>
              <w:t>Requirements</w:t>
            </w:r>
          </w:p>
        </w:tc>
      </w:tr>
      <w:tr w:rsidR="0F76AFA6" w:rsidTr="0F76AFA6" w14:paraId="37C1E8C6">
        <w:trPr>
          <w:trHeight w:val="300"/>
        </w:trPr>
        <w:tc>
          <w:tcPr>
            <w:tcW w:w="495" w:type="dxa"/>
            <w:shd w:val="clear" w:color="auto" w:fill="5B9BD5" w:themeFill="accent5"/>
            <w:tcMar>
              <w:left w:w="105" w:type="dxa"/>
              <w:right w:w="105" w:type="dxa"/>
            </w:tcMar>
            <w:vAlign w:val="top"/>
          </w:tcPr>
          <w:p w:rsidR="0F76AFA6" w:rsidP="0F76AFA6" w:rsidRDefault="0F76AFA6" w14:paraId="0E452366" w14:textId="16EF152E">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1</w:t>
            </w:r>
          </w:p>
        </w:tc>
        <w:tc>
          <w:tcPr>
            <w:tcW w:w="8850" w:type="dxa"/>
            <w:shd w:val="clear" w:color="auto" w:fill="FFFFFF" w:themeFill="background1"/>
            <w:tcMar>
              <w:left w:w="105" w:type="dxa"/>
              <w:right w:w="105" w:type="dxa"/>
            </w:tcMar>
            <w:vAlign w:val="top"/>
          </w:tcPr>
          <w:p w:rsidR="0F76AFA6" w:rsidP="0F76AFA6" w:rsidRDefault="0F76AFA6" w14:paraId="75F5C535" w14:textId="7C91E794">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The company's capital is not less than (3,000,000) three million SAR.</w:t>
            </w:r>
          </w:p>
        </w:tc>
      </w:tr>
      <w:tr w:rsidR="0F76AFA6" w:rsidTr="0F76AFA6" w14:paraId="20ACF721">
        <w:trPr>
          <w:trHeight w:val="300"/>
        </w:trPr>
        <w:tc>
          <w:tcPr>
            <w:tcW w:w="495" w:type="dxa"/>
            <w:shd w:val="clear" w:color="auto" w:fill="5B9BD5" w:themeFill="accent5"/>
            <w:tcMar>
              <w:left w:w="105" w:type="dxa"/>
              <w:right w:w="105" w:type="dxa"/>
            </w:tcMar>
            <w:vAlign w:val="top"/>
          </w:tcPr>
          <w:p w:rsidR="0F76AFA6" w:rsidP="0F76AFA6" w:rsidRDefault="0F76AFA6" w14:paraId="67F24D4E" w14:textId="5133F97D">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2</w:t>
            </w:r>
          </w:p>
        </w:tc>
        <w:tc>
          <w:tcPr>
            <w:tcW w:w="8850" w:type="dxa"/>
            <w:shd w:val="clear" w:color="auto" w:fill="FFFFFF" w:themeFill="background1"/>
            <w:tcMar>
              <w:left w:w="105" w:type="dxa"/>
              <w:right w:w="105" w:type="dxa"/>
            </w:tcMar>
            <w:vAlign w:val="top"/>
          </w:tcPr>
          <w:p w:rsidR="0F76AFA6" w:rsidP="0F76AFA6" w:rsidRDefault="0F76AFA6" w14:paraId="7DF13D03" w14:textId="1462A04E">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Submission of a professional liability insurance policy that covers the risks of professional liability for default, negligence and error, and the insurance cover must not be less than (1,000,000) million SAR.</w:t>
            </w:r>
          </w:p>
        </w:tc>
      </w:tr>
      <w:tr w:rsidR="0F76AFA6" w:rsidTr="0F76AFA6" w14:paraId="45E5AFA5">
        <w:trPr>
          <w:trHeight w:val="300"/>
        </w:trPr>
        <w:tc>
          <w:tcPr>
            <w:tcW w:w="495" w:type="dxa"/>
            <w:shd w:val="clear" w:color="auto" w:fill="5B9BD5" w:themeFill="accent5"/>
            <w:tcMar>
              <w:left w:w="105" w:type="dxa"/>
              <w:right w:w="105" w:type="dxa"/>
            </w:tcMar>
            <w:vAlign w:val="top"/>
          </w:tcPr>
          <w:p w:rsidR="0F76AFA6" w:rsidP="0F76AFA6" w:rsidRDefault="0F76AFA6" w14:paraId="4F8602B5" w14:textId="3060EEE1">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3</w:t>
            </w:r>
          </w:p>
        </w:tc>
        <w:tc>
          <w:tcPr>
            <w:tcW w:w="8850" w:type="dxa"/>
            <w:shd w:val="clear" w:color="auto" w:fill="FFFFFF" w:themeFill="background1"/>
            <w:tcMar>
              <w:left w:w="105" w:type="dxa"/>
              <w:right w:w="105" w:type="dxa"/>
            </w:tcMar>
            <w:vAlign w:val="top"/>
          </w:tcPr>
          <w:p w:rsidR="0F76AFA6" w:rsidP="0F76AFA6" w:rsidRDefault="0F76AFA6" w14:paraId="30232191" w14:textId="3A9192D7">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Submitting a bank guarantee to the council in the amount of (300,000) three hundred thousand SAR.</w:t>
            </w:r>
          </w:p>
        </w:tc>
      </w:tr>
      <w:tr w:rsidR="0F76AFA6" w:rsidTr="0F76AFA6" w14:paraId="1C6884F3">
        <w:trPr>
          <w:trHeight w:val="300"/>
        </w:trPr>
        <w:tc>
          <w:tcPr>
            <w:tcW w:w="495" w:type="dxa"/>
            <w:shd w:val="clear" w:color="auto" w:fill="5B9BD5" w:themeFill="accent5"/>
            <w:tcMar>
              <w:left w:w="105" w:type="dxa"/>
              <w:right w:w="105" w:type="dxa"/>
            </w:tcMar>
            <w:vAlign w:val="top"/>
          </w:tcPr>
          <w:p w:rsidR="0F76AFA6" w:rsidP="0F76AFA6" w:rsidRDefault="0F76AFA6" w14:paraId="4FF5DCB7" w14:textId="600EA8D2">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4</w:t>
            </w:r>
          </w:p>
        </w:tc>
        <w:tc>
          <w:tcPr>
            <w:tcW w:w="8850" w:type="dxa"/>
            <w:shd w:val="clear" w:color="auto" w:fill="FFFFFF" w:themeFill="background1"/>
            <w:tcMar>
              <w:left w:w="105" w:type="dxa"/>
              <w:right w:w="105" w:type="dxa"/>
            </w:tcMar>
            <w:vAlign w:val="top"/>
          </w:tcPr>
          <w:p w:rsidR="0F76AFA6" w:rsidP="0F76AFA6" w:rsidRDefault="0F76AFA6" w14:paraId="3B5171B1" w14:textId="3807141A">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Accreditation application certified by the Chamber of Commerce.</w:t>
            </w:r>
          </w:p>
        </w:tc>
      </w:tr>
      <w:tr w:rsidR="0F76AFA6" w:rsidTr="0F76AFA6" w14:paraId="1AE68787">
        <w:trPr>
          <w:trHeight w:val="300"/>
        </w:trPr>
        <w:tc>
          <w:tcPr>
            <w:tcW w:w="495" w:type="dxa"/>
            <w:shd w:val="clear" w:color="auto" w:fill="5B9BD5" w:themeFill="accent5"/>
            <w:tcMar>
              <w:left w:w="105" w:type="dxa"/>
              <w:right w:w="105" w:type="dxa"/>
            </w:tcMar>
            <w:vAlign w:val="top"/>
          </w:tcPr>
          <w:p w:rsidR="0F76AFA6" w:rsidP="0F76AFA6" w:rsidRDefault="0F76AFA6" w14:paraId="7F3A2038" w14:textId="45EEBA1C">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5</w:t>
            </w:r>
          </w:p>
        </w:tc>
        <w:tc>
          <w:tcPr>
            <w:tcW w:w="8850" w:type="dxa"/>
            <w:shd w:val="clear" w:color="auto" w:fill="FFFFFF" w:themeFill="background1"/>
            <w:tcMar>
              <w:left w:w="105" w:type="dxa"/>
              <w:right w:w="105" w:type="dxa"/>
            </w:tcMar>
            <w:vAlign w:val="top"/>
          </w:tcPr>
          <w:p w:rsidR="0F76AFA6" w:rsidP="0F76AFA6" w:rsidRDefault="0F76AFA6" w14:paraId="76902A79" w14:textId="6A430DBF">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The validity of the commercial register under the name (Revenue Cycle Management) and that it should not be suspended based on an implementation request.</w:t>
            </w:r>
          </w:p>
        </w:tc>
      </w:tr>
      <w:tr w:rsidR="0F76AFA6" w:rsidTr="0F76AFA6" w14:paraId="28F8935D">
        <w:trPr>
          <w:trHeight w:val="300"/>
        </w:trPr>
        <w:tc>
          <w:tcPr>
            <w:tcW w:w="495" w:type="dxa"/>
            <w:shd w:val="clear" w:color="auto" w:fill="5B9BD5" w:themeFill="accent5"/>
            <w:tcMar>
              <w:left w:w="105" w:type="dxa"/>
              <w:right w:w="105" w:type="dxa"/>
            </w:tcMar>
            <w:vAlign w:val="top"/>
          </w:tcPr>
          <w:p w:rsidR="0F76AFA6" w:rsidP="0F76AFA6" w:rsidRDefault="0F76AFA6" w14:paraId="000E4A06" w14:textId="3A0B14D5">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6</w:t>
            </w:r>
          </w:p>
        </w:tc>
        <w:tc>
          <w:tcPr>
            <w:tcW w:w="8850" w:type="dxa"/>
            <w:shd w:val="clear" w:color="auto" w:fill="FFFFFF" w:themeFill="background1"/>
            <w:tcMar>
              <w:left w:w="105" w:type="dxa"/>
              <w:right w:w="105" w:type="dxa"/>
            </w:tcMar>
            <w:vAlign w:val="top"/>
          </w:tcPr>
          <w:p w:rsidR="0F76AFA6" w:rsidP="0F76AFA6" w:rsidRDefault="0F76AFA6" w14:paraId="37D84B30" w14:textId="5BAF9C45">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Copy of the company's incorporation contract.</w:t>
            </w:r>
          </w:p>
        </w:tc>
      </w:tr>
      <w:tr w:rsidR="0F76AFA6" w:rsidTr="0F76AFA6" w14:paraId="34E21B0E">
        <w:trPr>
          <w:trHeight w:val="300"/>
        </w:trPr>
        <w:tc>
          <w:tcPr>
            <w:tcW w:w="495" w:type="dxa"/>
            <w:shd w:val="clear" w:color="auto" w:fill="5B9BD5" w:themeFill="accent5"/>
            <w:tcMar>
              <w:left w:w="105" w:type="dxa"/>
              <w:right w:w="105" w:type="dxa"/>
            </w:tcMar>
            <w:vAlign w:val="top"/>
          </w:tcPr>
          <w:p w:rsidR="0F76AFA6" w:rsidP="0F76AFA6" w:rsidRDefault="0F76AFA6" w14:paraId="014A8392" w14:textId="2DA33870">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7</w:t>
            </w:r>
          </w:p>
        </w:tc>
        <w:tc>
          <w:tcPr>
            <w:tcW w:w="8850" w:type="dxa"/>
            <w:shd w:val="clear" w:color="auto" w:fill="FFFFFF" w:themeFill="background1"/>
            <w:tcMar>
              <w:left w:w="105" w:type="dxa"/>
              <w:right w:w="105" w:type="dxa"/>
            </w:tcMar>
            <w:vAlign w:val="top"/>
          </w:tcPr>
          <w:p w:rsidR="0F76AFA6" w:rsidP="0F76AFA6" w:rsidRDefault="0F76AFA6" w14:paraId="69F42902" w14:textId="53C9BAC5">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Validity of Zakat and Income Certificate.</w:t>
            </w:r>
          </w:p>
        </w:tc>
      </w:tr>
      <w:tr w:rsidR="0F76AFA6" w:rsidTr="0F76AFA6" w14:paraId="743BB4D0">
        <w:trPr>
          <w:trHeight w:val="300"/>
        </w:trPr>
        <w:tc>
          <w:tcPr>
            <w:tcW w:w="495" w:type="dxa"/>
            <w:shd w:val="clear" w:color="auto" w:fill="5B9BD5" w:themeFill="accent5"/>
            <w:tcMar>
              <w:left w:w="105" w:type="dxa"/>
              <w:right w:w="105" w:type="dxa"/>
            </w:tcMar>
            <w:vAlign w:val="top"/>
          </w:tcPr>
          <w:p w:rsidR="0F76AFA6" w:rsidP="0F76AFA6" w:rsidRDefault="0F76AFA6" w14:paraId="696AB519" w14:textId="6BFF23BB">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8</w:t>
            </w:r>
          </w:p>
        </w:tc>
        <w:tc>
          <w:tcPr>
            <w:tcW w:w="8850" w:type="dxa"/>
            <w:shd w:val="clear" w:color="auto" w:fill="FFFFFF" w:themeFill="background1"/>
            <w:tcMar>
              <w:left w:w="105" w:type="dxa"/>
              <w:right w:w="105" w:type="dxa"/>
            </w:tcMar>
            <w:vAlign w:val="top"/>
          </w:tcPr>
          <w:p w:rsidR="0F76AFA6" w:rsidP="0F76AFA6" w:rsidRDefault="0F76AFA6" w14:paraId="4F4833CB" w14:textId="5DC92DE2">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Copy of the Social Insurance Subscription Certificate showing the names of employees - Saudization Certificate.</w:t>
            </w:r>
          </w:p>
        </w:tc>
      </w:tr>
      <w:tr w:rsidR="0F76AFA6" w:rsidTr="0F76AFA6" w14:paraId="7C617679">
        <w:trPr>
          <w:trHeight w:val="300"/>
        </w:trPr>
        <w:tc>
          <w:tcPr>
            <w:tcW w:w="495" w:type="dxa"/>
            <w:shd w:val="clear" w:color="auto" w:fill="5B9BD5" w:themeFill="accent5"/>
            <w:tcMar>
              <w:left w:w="105" w:type="dxa"/>
              <w:right w:w="105" w:type="dxa"/>
            </w:tcMar>
            <w:vAlign w:val="top"/>
          </w:tcPr>
          <w:p w:rsidR="0F76AFA6" w:rsidP="0F76AFA6" w:rsidRDefault="0F76AFA6" w14:paraId="32456051" w14:textId="4B5FA717">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9</w:t>
            </w:r>
          </w:p>
        </w:tc>
        <w:tc>
          <w:tcPr>
            <w:tcW w:w="8850" w:type="dxa"/>
            <w:shd w:val="clear" w:color="auto" w:fill="FFFFFF" w:themeFill="background1"/>
            <w:tcMar>
              <w:left w:w="105" w:type="dxa"/>
              <w:right w:w="105" w:type="dxa"/>
            </w:tcMar>
            <w:vAlign w:val="top"/>
          </w:tcPr>
          <w:p w:rsidR="0F76AFA6" w:rsidP="0F76AFA6" w:rsidRDefault="0F76AFA6" w14:paraId="34C7A520" w14:textId="7B38CB6E">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The medical coding certificate is valid by the Saudi Health Council (ICD-10-AM).</w:t>
            </w:r>
          </w:p>
        </w:tc>
      </w:tr>
      <w:tr w:rsidR="0F76AFA6" w:rsidTr="0F76AFA6" w14:paraId="616E65D2">
        <w:trPr>
          <w:trHeight w:val="300"/>
        </w:trPr>
        <w:tc>
          <w:tcPr>
            <w:tcW w:w="495" w:type="dxa"/>
            <w:shd w:val="clear" w:color="auto" w:fill="5B9BD5" w:themeFill="accent5"/>
            <w:tcMar>
              <w:left w:w="105" w:type="dxa"/>
              <w:right w:w="105" w:type="dxa"/>
            </w:tcMar>
            <w:vAlign w:val="top"/>
          </w:tcPr>
          <w:p w:rsidR="0F76AFA6" w:rsidP="0F76AFA6" w:rsidRDefault="0F76AFA6" w14:paraId="33424277" w14:textId="12167DDF">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10</w:t>
            </w:r>
          </w:p>
        </w:tc>
        <w:tc>
          <w:tcPr>
            <w:tcW w:w="8850" w:type="dxa"/>
            <w:shd w:val="clear" w:color="auto" w:fill="FFFFFF" w:themeFill="background1"/>
            <w:tcMar>
              <w:left w:w="105" w:type="dxa"/>
              <w:right w:w="105" w:type="dxa"/>
            </w:tcMar>
            <w:vAlign w:val="top"/>
          </w:tcPr>
          <w:p w:rsidR="0F76AFA6" w:rsidP="0F76AFA6" w:rsidRDefault="0F76AFA6" w14:paraId="48D0A02B" w14:textId="6048F26B">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Fill in general information about the company.</w:t>
            </w:r>
          </w:p>
        </w:tc>
      </w:tr>
      <w:tr w:rsidR="0F76AFA6" w:rsidTr="0F76AFA6" w14:paraId="0DE82622">
        <w:trPr>
          <w:trHeight w:val="300"/>
        </w:trPr>
        <w:tc>
          <w:tcPr>
            <w:tcW w:w="495" w:type="dxa"/>
            <w:shd w:val="clear" w:color="auto" w:fill="5B9BD5" w:themeFill="accent5"/>
            <w:tcMar>
              <w:left w:w="105" w:type="dxa"/>
              <w:right w:w="105" w:type="dxa"/>
            </w:tcMar>
            <w:vAlign w:val="top"/>
          </w:tcPr>
          <w:p w:rsidR="0F76AFA6" w:rsidP="0F76AFA6" w:rsidRDefault="0F76AFA6" w14:paraId="5C82B050" w14:textId="23C093F4">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11</w:t>
            </w:r>
          </w:p>
        </w:tc>
        <w:tc>
          <w:tcPr>
            <w:tcW w:w="8850" w:type="dxa"/>
            <w:shd w:val="clear" w:color="auto" w:fill="FFFFFF" w:themeFill="background1"/>
            <w:tcMar>
              <w:left w:w="105" w:type="dxa"/>
              <w:right w:w="105" w:type="dxa"/>
            </w:tcMar>
            <w:vAlign w:val="top"/>
          </w:tcPr>
          <w:p w:rsidR="0F76AFA6" w:rsidP="0F76AFA6" w:rsidRDefault="0F76AFA6" w14:paraId="374D2090" w14:textId="51FE4975">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A copy of the organizational chart, including staff names.</w:t>
            </w:r>
          </w:p>
        </w:tc>
      </w:tr>
      <w:tr w:rsidR="0F76AFA6" w:rsidTr="0F76AFA6" w14:paraId="058465D2">
        <w:trPr>
          <w:trHeight w:val="300"/>
        </w:trPr>
        <w:tc>
          <w:tcPr>
            <w:tcW w:w="495" w:type="dxa"/>
            <w:shd w:val="clear" w:color="auto" w:fill="5B9BD5" w:themeFill="accent5"/>
            <w:tcMar>
              <w:left w:w="105" w:type="dxa"/>
              <w:right w:w="105" w:type="dxa"/>
            </w:tcMar>
            <w:vAlign w:val="top"/>
          </w:tcPr>
          <w:p w:rsidR="0F76AFA6" w:rsidP="0F76AFA6" w:rsidRDefault="0F76AFA6" w14:paraId="3F3FFCB0" w14:textId="22BB2218">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12</w:t>
            </w:r>
          </w:p>
        </w:tc>
        <w:tc>
          <w:tcPr>
            <w:tcW w:w="8850" w:type="dxa"/>
            <w:shd w:val="clear" w:color="auto" w:fill="FFFFFF" w:themeFill="background1"/>
            <w:tcMar>
              <w:left w:w="105" w:type="dxa"/>
              <w:right w:w="105" w:type="dxa"/>
            </w:tcMar>
            <w:vAlign w:val="top"/>
          </w:tcPr>
          <w:p w:rsidR="0F76AFA6" w:rsidP="0F76AFA6" w:rsidRDefault="0F76AFA6" w14:paraId="4863AFF2" w14:textId="52FF3566">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Managers obtain a university degree or professional certificates in the management of the revenue or health insurance course and have at least three years' experience in the same field.</w:t>
            </w:r>
          </w:p>
        </w:tc>
      </w:tr>
      <w:tr w:rsidR="0F76AFA6" w:rsidTr="0F76AFA6" w14:paraId="1C6DF128">
        <w:trPr>
          <w:trHeight w:val="300"/>
        </w:trPr>
        <w:tc>
          <w:tcPr>
            <w:tcW w:w="495" w:type="dxa"/>
            <w:shd w:val="clear" w:color="auto" w:fill="5B9BD5" w:themeFill="accent5"/>
            <w:tcMar>
              <w:left w:w="105" w:type="dxa"/>
              <w:right w:w="105" w:type="dxa"/>
            </w:tcMar>
            <w:vAlign w:val="top"/>
          </w:tcPr>
          <w:p w:rsidR="0F76AFA6" w:rsidP="0F76AFA6" w:rsidRDefault="0F76AFA6" w14:paraId="44646AC4" w14:textId="6A22FDA7">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13</w:t>
            </w:r>
          </w:p>
        </w:tc>
        <w:tc>
          <w:tcPr>
            <w:tcW w:w="8850" w:type="dxa"/>
            <w:shd w:val="clear" w:color="auto" w:fill="FFFFFF" w:themeFill="background1"/>
            <w:tcMar>
              <w:left w:w="105" w:type="dxa"/>
              <w:right w:w="105" w:type="dxa"/>
            </w:tcMar>
            <w:vAlign w:val="top"/>
          </w:tcPr>
          <w:p w:rsidR="0F76AFA6" w:rsidP="0F76AFA6" w:rsidRDefault="0F76AFA6" w14:paraId="623A7E16" w14:textId="6B2BF577">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Executive officers' endorsement. ( General Manager or Chief Executive Officer - Director of Operations - Chief Financial Officer - Compliance Officer).</w:t>
            </w:r>
          </w:p>
        </w:tc>
      </w:tr>
      <w:tr w:rsidR="0F76AFA6" w:rsidTr="0F76AFA6" w14:paraId="733302D5">
        <w:trPr>
          <w:trHeight w:val="300"/>
        </w:trPr>
        <w:tc>
          <w:tcPr>
            <w:tcW w:w="495" w:type="dxa"/>
            <w:shd w:val="clear" w:color="auto" w:fill="5B9BD5" w:themeFill="accent5"/>
            <w:tcMar>
              <w:left w:w="105" w:type="dxa"/>
              <w:right w:w="105" w:type="dxa"/>
            </w:tcMar>
            <w:vAlign w:val="top"/>
          </w:tcPr>
          <w:p w:rsidR="0F76AFA6" w:rsidP="0F76AFA6" w:rsidRDefault="0F76AFA6" w14:paraId="7D42B4AF" w14:textId="50F1432A">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14</w:t>
            </w:r>
          </w:p>
        </w:tc>
        <w:tc>
          <w:tcPr>
            <w:tcW w:w="8850" w:type="dxa"/>
            <w:shd w:val="clear" w:color="auto" w:fill="FFFFFF" w:themeFill="background1"/>
            <w:tcMar>
              <w:left w:w="105" w:type="dxa"/>
              <w:right w:w="105" w:type="dxa"/>
            </w:tcMar>
            <w:vAlign w:val="top"/>
          </w:tcPr>
          <w:p w:rsidR="0F76AFA6" w:rsidP="0F76AFA6" w:rsidRDefault="0F76AFA6" w14:paraId="523DEA20" w14:textId="6D6327A3">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Company's Automated System Directory.</w:t>
            </w:r>
          </w:p>
        </w:tc>
      </w:tr>
      <w:tr w:rsidR="0F76AFA6" w:rsidTr="0F76AFA6" w14:paraId="3E695BA2">
        <w:trPr>
          <w:trHeight w:val="300"/>
        </w:trPr>
        <w:tc>
          <w:tcPr>
            <w:tcW w:w="495" w:type="dxa"/>
            <w:shd w:val="clear" w:color="auto" w:fill="5B9BD5" w:themeFill="accent5"/>
            <w:tcMar>
              <w:left w:w="105" w:type="dxa"/>
              <w:right w:w="105" w:type="dxa"/>
            </w:tcMar>
            <w:vAlign w:val="top"/>
          </w:tcPr>
          <w:p w:rsidR="0F76AFA6" w:rsidP="0F76AFA6" w:rsidRDefault="0F76AFA6" w14:paraId="6029709C" w14:textId="5CAB6D64">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15</w:t>
            </w:r>
          </w:p>
        </w:tc>
        <w:tc>
          <w:tcPr>
            <w:tcW w:w="8850" w:type="dxa"/>
            <w:shd w:val="clear" w:color="auto" w:fill="FFFFFF" w:themeFill="background1"/>
            <w:tcMar>
              <w:left w:w="105" w:type="dxa"/>
              <w:right w:w="105" w:type="dxa"/>
            </w:tcMar>
            <w:vAlign w:val="top"/>
          </w:tcPr>
          <w:p w:rsidR="0F76AFA6" w:rsidP="0F76AFA6" w:rsidRDefault="0F76AFA6" w14:paraId="3D546C5F" w14:textId="1D91484C">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Minimum number (3) of coders in case of first application for accreditation with at least 3 years'experience, the number will be redefined in the future depending on the workload. (With professional certificates for coders and occupational classification from the Health Specialties Authority (if applicable).</w:t>
            </w:r>
          </w:p>
        </w:tc>
      </w:tr>
      <w:tr w:rsidR="0F76AFA6" w:rsidTr="0F76AFA6" w14:paraId="2A3CC4CF">
        <w:trPr>
          <w:trHeight w:val="300"/>
        </w:trPr>
        <w:tc>
          <w:tcPr>
            <w:tcW w:w="495" w:type="dxa"/>
            <w:shd w:val="clear" w:color="auto" w:fill="5B9BD5" w:themeFill="accent5"/>
            <w:tcMar>
              <w:left w:w="105" w:type="dxa"/>
              <w:right w:w="105" w:type="dxa"/>
            </w:tcMar>
            <w:vAlign w:val="top"/>
          </w:tcPr>
          <w:p w:rsidR="0F76AFA6" w:rsidP="0F76AFA6" w:rsidRDefault="0F76AFA6" w14:paraId="2E87AF71" w14:textId="662146C6">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16</w:t>
            </w:r>
          </w:p>
        </w:tc>
        <w:tc>
          <w:tcPr>
            <w:tcW w:w="8850" w:type="dxa"/>
            <w:shd w:val="clear" w:color="auto" w:fill="FFFFFF" w:themeFill="background1"/>
            <w:tcMar>
              <w:left w:w="105" w:type="dxa"/>
              <w:right w:w="105" w:type="dxa"/>
            </w:tcMar>
            <w:vAlign w:val="top"/>
          </w:tcPr>
          <w:p w:rsidR="0F76AFA6" w:rsidP="0F76AFA6" w:rsidRDefault="0F76AFA6" w14:paraId="1996E75E" w14:textId="18949A4E">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Number (1) licensed physician as a minimum for companies applying for accreditation for the first time with experience of not less than five years, and the number will be re-determined in the future according to the workload (providing us with a CV and professional certificates).</w:t>
            </w:r>
          </w:p>
        </w:tc>
      </w:tr>
      <w:tr w:rsidR="0F76AFA6" w:rsidTr="0F76AFA6" w14:paraId="19D3DA1B">
        <w:trPr>
          <w:trHeight w:val="300"/>
        </w:trPr>
        <w:tc>
          <w:tcPr>
            <w:tcW w:w="495" w:type="dxa"/>
            <w:shd w:val="clear" w:color="auto" w:fill="5B9BD5" w:themeFill="accent5"/>
            <w:tcMar>
              <w:left w:w="105" w:type="dxa"/>
              <w:right w:w="105" w:type="dxa"/>
            </w:tcMar>
            <w:vAlign w:val="top"/>
          </w:tcPr>
          <w:p w:rsidR="0F76AFA6" w:rsidP="0F76AFA6" w:rsidRDefault="0F76AFA6" w14:paraId="1C0CBBE5" w14:textId="6290112B">
            <w:pPr>
              <w:spacing w:line="259" w:lineRule="auto"/>
              <w:rPr>
                <w:rFonts w:ascii="Calibri" w:hAnsi="Calibri" w:eastAsia="Calibri" w:cs="Calibri"/>
                <w:b w:val="0"/>
                <w:bCs w:val="0"/>
                <w:i w:val="0"/>
                <w:iCs w:val="0"/>
                <w:color w:val="FFFFFF" w:themeColor="background1" w:themeTint="FF" w:themeShade="FF"/>
                <w:sz w:val="28"/>
                <w:szCs w:val="28"/>
              </w:rPr>
            </w:pPr>
          </w:p>
          <w:p w:rsidR="0F76AFA6" w:rsidP="0F76AFA6" w:rsidRDefault="0F76AFA6" w14:paraId="7EDB3EDD" w14:textId="008D1DC3">
            <w:pPr>
              <w:spacing w:line="259" w:lineRule="auto"/>
              <w:rPr>
                <w:rFonts w:ascii="Calibri" w:hAnsi="Calibri" w:eastAsia="Calibri" w:cs="Calibri"/>
                <w:b w:val="0"/>
                <w:bCs w:val="0"/>
                <w:i w:val="0"/>
                <w:iCs w:val="0"/>
                <w:color w:val="FFFFFF" w:themeColor="background1" w:themeTint="FF" w:themeShade="FF"/>
                <w:sz w:val="28"/>
                <w:szCs w:val="28"/>
              </w:rPr>
            </w:pPr>
          </w:p>
          <w:p w:rsidR="0F76AFA6" w:rsidP="0F76AFA6" w:rsidRDefault="0F76AFA6" w14:paraId="0A7F2A8F" w14:textId="24E4F86B">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17</w:t>
            </w:r>
          </w:p>
        </w:tc>
        <w:tc>
          <w:tcPr>
            <w:tcW w:w="8850" w:type="dxa"/>
            <w:shd w:val="clear" w:color="auto" w:fill="FFFFFF" w:themeFill="background1"/>
            <w:tcMar>
              <w:left w:w="105" w:type="dxa"/>
              <w:right w:w="105" w:type="dxa"/>
            </w:tcMar>
            <w:vAlign w:val="top"/>
          </w:tcPr>
          <w:p w:rsidR="0F76AFA6" w:rsidP="0F76AFA6" w:rsidRDefault="0F76AFA6" w14:paraId="5BBBF061" w14:textId="69F61C64">
            <w:pPr>
              <w:spacing w:line="259" w:lineRule="auto"/>
              <w:rPr>
                <w:rFonts w:ascii="Calibri" w:hAnsi="Calibri" w:eastAsia="Calibri" w:cs="Calibri"/>
                <w:b w:val="0"/>
                <w:bCs w:val="0"/>
                <w:i w:val="0"/>
                <w:iCs w:val="0"/>
                <w:sz w:val="28"/>
                <w:szCs w:val="28"/>
              </w:rPr>
            </w:pPr>
          </w:p>
          <w:p w:rsidR="0F76AFA6" w:rsidP="0F76AFA6" w:rsidRDefault="0F76AFA6" w14:paraId="51A1BA6A" w14:textId="1126E2ED">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The ability of the company's electronic systems to link with the council's systems, including (the unified platform system, the CRM system....etc) and their compatibility with the conditions of the health information center and the regulations and conditions of cybersecurity.</w:t>
            </w:r>
          </w:p>
        </w:tc>
      </w:tr>
      <w:tr w:rsidR="0F76AFA6" w:rsidTr="0F76AFA6" w14:paraId="20B9C127">
        <w:trPr>
          <w:trHeight w:val="300"/>
        </w:trPr>
        <w:tc>
          <w:tcPr>
            <w:tcW w:w="495" w:type="dxa"/>
            <w:shd w:val="clear" w:color="auto" w:fill="5B9BD5" w:themeFill="accent5"/>
            <w:tcMar>
              <w:left w:w="105" w:type="dxa"/>
              <w:right w:w="105" w:type="dxa"/>
            </w:tcMar>
            <w:vAlign w:val="top"/>
          </w:tcPr>
          <w:p w:rsidR="0F76AFA6" w:rsidP="0F76AFA6" w:rsidRDefault="0F76AFA6" w14:paraId="24F2F4C7" w14:textId="396AD610">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18</w:t>
            </w:r>
          </w:p>
        </w:tc>
        <w:tc>
          <w:tcPr>
            <w:tcW w:w="8850" w:type="dxa"/>
            <w:shd w:val="clear" w:color="auto" w:fill="FFFFFF" w:themeFill="background1"/>
            <w:tcMar>
              <w:left w:w="105" w:type="dxa"/>
              <w:right w:w="105" w:type="dxa"/>
            </w:tcMar>
            <w:vAlign w:val="top"/>
          </w:tcPr>
          <w:p w:rsidR="0F76AFA6" w:rsidP="0F76AFA6" w:rsidRDefault="0F76AFA6" w14:paraId="0CA07218" w14:textId="720A0B80">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The three-year workplan includes at least the following (description of work - marketing plan - expansion plan - contingency plan includes actions to be taken in case of e-system breakdown to ensure business continuity).</w:t>
            </w:r>
          </w:p>
        </w:tc>
      </w:tr>
      <w:tr w:rsidR="0F76AFA6" w:rsidTr="0F76AFA6" w14:paraId="506AF6D2">
        <w:trPr>
          <w:trHeight w:val="300"/>
        </w:trPr>
        <w:tc>
          <w:tcPr>
            <w:tcW w:w="495" w:type="dxa"/>
            <w:shd w:val="clear" w:color="auto" w:fill="5B9BD5" w:themeFill="accent5"/>
            <w:tcMar>
              <w:left w:w="105" w:type="dxa"/>
              <w:right w:w="105" w:type="dxa"/>
            </w:tcMar>
            <w:vAlign w:val="top"/>
          </w:tcPr>
          <w:p w:rsidR="0F76AFA6" w:rsidP="0F76AFA6" w:rsidRDefault="0F76AFA6" w14:paraId="0F1994F0" w14:textId="785A2E91">
            <w:pPr>
              <w:spacing w:line="259" w:lineRule="auto"/>
              <w:rPr>
                <w:rFonts w:ascii="Calibri" w:hAnsi="Calibri" w:eastAsia="Calibri" w:cs="Calibri"/>
                <w:b w:val="0"/>
                <w:bCs w:val="0"/>
                <w:i w:val="0"/>
                <w:iCs w:val="0"/>
                <w:color w:val="FFFFFF" w:themeColor="background1" w:themeTint="FF" w:themeShade="FF"/>
                <w:sz w:val="28"/>
                <w:szCs w:val="28"/>
              </w:rPr>
            </w:pPr>
            <w:r w:rsidRPr="0F76AFA6" w:rsidR="0F76AFA6">
              <w:rPr>
                <w:rFonts w:ascii="Calibri" w:hAnsi="Calibri" w:eastAsia="Calibri" w:cs="Calibri"/>
                <w:b w:val="0"/>
                <w:bCs w:val="0"/>
                <w:i w:val="0"/>
                <w:iCs w:val="0"/>
                <w:color w:val="FFFFFF" w:themeColor="background1" w:themeTint="FF" w:themeShade="FF"/>
                <w:sz w:val="28"/>
                <w:szCs w:val="28"/>
                <w:lang w:val="en-US"/>
              </w:rPr>
              <w:t>19</w:t>
            </w:r>
          </w:p>
        </w:tc>
        <w:tc>
          <w:tcPr>
            <w:tcW w:w="8850" w:type="dxa"/>
            <w:shd w:val="clear" w:color="auto" w:fill="FFFFFF" w:themeFill="background1"/>
            <w:tcMar>
              <w:left w:w="105" w:type="dxa"/>
              <w:right w:w="105" w:type="dxa"/>
            </w:tcMar>
            <w:vAlign w:val="top"/>
          </w:tcPr>
          <w:p w:rsidR="0F76AFA6" w:rsidP="0F76AFA6" w:rsidRDefault="0F76AFA6" w14:paraId="007B3B42" w14:textId="5ECDEB14">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 xml:space="preserve"> Manual of internal policies and procedures adopted as follows:</w:t>
            </w:r>
          </w:p>
        </w:tc>
      </w:tr>
      <w:tr w:rsidR="0F76AFA6" w:rsidTr="0F76AFA6" w14:paraId="5742444F">
        <w:trPr>
          <w:trHeight w:val="300"/>
        </w:trPr>
        <w:tc>
          <w:tcPr>
            <w:tcW w:w="495" w:type="dxa"/>
            <w:shd w:val="clear" w:color="auto" w:fill="5B9BD5" w:themeFill="accent5"/>
            <w:tcMar>
              <w:left w:w="105" w:type="dxa"/>
              <w:right w:w="105" w:type="dxa"/>
            </w:tcMar>
            <w:vAlign w:val="top"/>
          </w:tcPr>
          <w:p w:rsidR="0F76AFA6" w:rsidP="0F76AFA6" w:rsidRDefault="0F76AFA6" w14:paraId="65BDDEA1" w14:textId="6887C570">
            <w:pPr>
              <w:spacing w:line="259" w:lineRule="auto"/>
              <w:rPr>
                <w:rFonts w:ascii="Calibri" w:hAnsi="Calibri" w:eastAsia="Calibri" w:cs="Calibri"/>
                <w:b w:val="0"/>
                <w:bCs w:val="0"/>
                <w:i w:val="0"/>
                <w:iCs w:val="0"/>
                <w:sz w:val="28"/>
                <w:szCs w:val="28"/>
              </w:rPr>
            </w:pPr>
          </w:p>
        </w:tc>
        <w:tc>
          <w:tcPr>
            <w:tcW w:w="8850" w:type="dxa"/>
            <w:shd w:val="clear" w:color="auto" w:fill="FFFFFF" w:themeFill="background1"/>
            <w:tcMar>
              <w:left w:w="105" w:type="dxa"/>
              <w:right w:w="105" w:type="dxa"/>
            </w:tcMar>
            <w:vAlign w:val="top"/>
          </w:tcPr>
          <w:p w:rsidR="0F76AFA6" w:rsidP="0F76AFA6" w:rsidRDefault="0F76AFA6" w14:paraId="0E25441B" w14:textId="1454B622">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Procedures for contracting with service providers approved by the Council, with a copy of the contract forms attached.</w:t>
            </w:r>
          </w:p>
        </w:tc>
      </w:tr>
      <w:tr w:rsidR="0F76AFA6" w:rsidTr="0F76AFA6" w14:paraId="12AD042B">
        <w:trPr>
          <w:trHeight w:val="300"/>
        </w:trPr>
        <w:tc>
          <w:tcPr>
            <w:tcW w:w="495" w:type="dxa"/>
            <w:shd w:val="clear" w:color="auto" w:fill="5B9BD5" w:themeFill="accent5"/>
            <w:tcMar>
              <w:left w:w="105" w:type="dxa"/>
              <w:right w:w="105" w:type="dxa"/>
            </w:tcMar>
            <w:vAlign w:val="top"/>
          </w:tcPr>
          <w:p w:rsidR="0F76AFA6" w:rsidP="0F76AFA6" w:rsidRDefault="0F76AFA6" w14:paraId="42ED3B87" w14:textId="12D567EA">
            <w:pPr>
              <w:spacing w:line="259" w:lineRule="auto"/>
              <w:rPr>
                <w:rFonts w:ascii="Calibri" w:hAnsi="Calibri" w:eastAsia="Calibri" w:cs="Calibri"/>
                <w:b w:val="0"/>
                <w:bCs w:val="0"/>
                <w:i w:val="0"/>
                <w:iCs w:val="0"/>
                <w:sz w:val="28"/>
                <w:szCs w:val="28"/>
              </w:rPr>
            </w:pPr>
          </w:p>
        </w:tc>
        <w:tc>
          <w:tcPr>
            <w:tcW w:w="8850" w:type="dxa"/>
            <w:shd w:val="clear" w:color="auto" w:fill="FFFFFF" w:themeFill="background1"/>
            <w:tcMar>
              <w:left w:w="105" w:type="dxa"/>
              <w:right w:w="105" w:type="dxa"/>
            </w:tcMar>
            <w:vAlign w:val="top"/>
          </w:tcPr>
          <w:p w:rsidR="0F76AFA6" w:rsidP="0F76AFA6" w:rsidRDefault="0F76AFA6" w14:paraId="17DB0187" w14:textId="1B9165FA">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Procedures for raising medical approvals.</w:t>
            </w:r>
          </w:p>
        </w:tc>
      </w:tr>
      <w:tr w:rsidR="0F76AFA6" w:rsidTr="0F76AFA6" w14:paraId="5261192F">
        <w:trPr>
          <w:trHeight w:val="300"/>
        </w:trPr>
        <w:tc>
          <w:tcPr>
            <w:tcW w:w="495" w:type="dxa"/>
            <w:shd w:val="clear" w:color="auto" w:fill="5B9BD5" w:themeFill="accent5"/>
            <w:tcMar>
              <w:left w:w="105" w:type="dxa"/>
              <w:right w:w="105" w:type="dxa"/>
            </w:tcMar>
            <w:vAlign w:val="top"/>
          </w:tcPr>
          <w:p w:rsidR="0F76AFA6" w:rsidP="0F76AFA6" w:rsidRDefault="0F76AFA6" w14:paraId="2432EC04" w14:textId="21B10F84">
            <w:pPr>
              <w:spacing w:line="259" w:lineRule="auto"/>
              <w:rPr>
                <w:rFonts w:ascii="Calibri" w:hAnsi="Calibri" w:eastAsia="Calibri" w:cs="Calibri"/>
                <w:b w:val="0"/>
                <w:bCs w:val="0"/>
                <w:i w:val="0"/>
                <w:iCs w:val="0"/>
                <w:sz w:val="28"/>
                <w:szCs w:val="28"/>
              </w:rPr>
            </w:pPr>
          </w:p>
        </w:tc>
        <w:tc>
          <w:tcPr>
            <w:tcW w:w="8850" w:type="dxa"/>
            <w:shd w:val="clear" w:color="auto" w:fill="FFFFFF" w:themeFill="background1"/>
            <w:tcMar>
              <w:left w:w="105" w:type="dxa"/>
              <w:right w:w="105" w:type="dxa"/>
            </w:tcMar>
            <w:vAlign w:val="top"/>
          </w:tcPr>
          <w:p w:rsidR="0F76AFA6" w:rsidP="0F76AFA6" w:rsidRDefault="0F76AFA6" w14:paraId="3ABDD7C3" w14:textId="2C27BE97">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Claims processing procedures.</w:t>
            </w:r>
          </w:p>
        </w:tc>
      </w:tr>
      <w:tr w:rsidR="0F76AFA6" w:rsidTr="0F76AFA6" w14:paraId="7C9ECD78">
        <w:trPr>
          <w:trHeight w:val="300"/>
        </w:trPr>
        <w:tc>
          <w:tcPr>
            <w:tcW w:w="495" w:type="dxa"/>
            <w:shd w:val="clear" w:color="auto" w:fill="5B9BD5" w:themeFill="accent5"/>
            <w:tcMar>
              <w:left w:w="105" w:type="dxa"/>
              <w:right w:w="105" w:type="dxa"/>
            </w:tcMar>
            <w:vAlign w:val="top"/>
          </w:tcPr>
          <w:p w:rsidR="0F76AFA6" w:rsidP="0F76AFA6" w:rsidRDefault="0F76AFA6" w14:paraId="4394AB59" w14:textId="723A8E43">
            <w:pPr>
              <w:spacing w:line="259" w:lineRule="auto"/>
              <w:rPr>
                <w:rFonts w:ascii="Calibri" w:hAnsi="Calibri" w:eastAsia="Calibri" w:cs="Calibri"/>
                <w:b w:val="0"/>
                <w:bCs w:val="0"/>
                <w:i w:val="0"/>
                <w:iCs w:val="0"/>
                <w:sz w:val="28"/>
                <w:szCs w:val="28"/>
              </w:rPr>
            </w:pPr>
          </w:p>
        </w:tc>
        <w:tc>
          <w:tcPr>
            <w:tcW w:w="8850" w:type="dxa"/>
            <w:shd w:val="clear" w:color="auto" w:fill="FFFFFF" w:themeFill="background1"/>
            <w:tcMar>
              <w:left w:w="105" w:type="dxa"/>
              <w:right w:w="105" w:type="dxa"/>
            </w:tcMar>
            <w:vAlign w:val="top"/>
          </w:tcPr>
          <w:p w:rsidR="0F76AFA6" w:rsidP="0F76AFA6" w:rsidRDefault="0F76AFA6" w14:paraId="140823E9" w14:textId="0513934F">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Procedures for dealing with complaints.</w:t>
            </w:r>
          </w:p>
        </w:tc>
      </w:tr>
      <w:tr w:rsidR="0F76AFA6" w:rsidTr="0F76AFA6" w14:paraId="56203CF2">
        <w:trPr>
          <w:trHeight w:val="300"/>
        </w:trPr>
        <w:tc>
          <w:tcPr>
            <w:tcW w:w="495" w:type="dxa"/>
            <w:shd w:val="clear" w:color="auto" w:fill="5B9BD5" w:themeFill="accent5"/>
            <w:tcMar>
              <w:left w:w="105" w:type="dxa"/>
              <w:right w:w="105" w:type="dxa"/>
            </w:tcMar>
            <w:vAlign w:val="top"/>
          </w:tcPr>
          <w:p w:rsidR="0F76AFA6" w:rsidP="0F76AFA6" w:rsidRDefault="0F76AFA6" w14:paraId="6B5CD5EE" w14:textId="139A23F0">
            <w:pPr>
              <w:spacing w:line="259" w:lineRule="auto"/>
              <w:rPr>
                <w:rFonts w:ascii="Calibri" w:hAnsi="Calibri" w:eastAsia="Calibri" w:cs="Calibri"/>
                <w:b w:val="0"/>
                <w:bCs w:val="0"/>
                <w:i w:val="0"/>
                <w:iCs w:val="0"/>
                <w:sz w:val="28"/>
                <w:szCs w:val="28"/>
              </w:rPr>
            </w:pPr>
          </w:p>
        </w:tc>
        <w:tc>
          <w:tcPr>
            <w:tcW w:w="8850" w:type="dxa"/>
            <w:shd w:val="clear" w:color="auto" w:fill="FFFFFF" w:themeFill="background1"/>
            <w:tcMar>
              <w:left w:w="105" w:type="dxa"/>
              <w:right w:w="105" w:type="dxa"/>
            </w:tcMar>
            <w:vAlign w:val="top"/>
          </w:tcPr>
          <w:p w:rsidR="0F76AFA6" w:rsidP="0F76AFA6" w:rsidRDefault="0F76AFA6" w14:paraId="1784C0AF" w14:textId="6D65555A">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Procedures for confidentiality of the insured's data, for example, but not limited to (data access controls / data protection / data storage and backup procedures / confidentiality of patient data).</w:t>
            </w:r>
          </w:p>
        </w:tc>
      </w:tr>
      <w:tr w:rsidR="0F76AFA6" w:rsidTr="0F76AFA6" w14:paraId="1C213C6E">
        <w:trPr>
          <w:trHeight w:val="300"/>
        </w:trPr>
        <w:tc>
          <w:tcPr>
            <w:tcW w:w="495" w:type="dxa"/>
            <w:shd w:val="clear" w:color="auto" w:fill="5B9BD5" w:themeFill="accent5"/>
            <w:tcMar>
              <w:left w:w="105" w:type="dxa"/>
              <w:right w:w="105" w:type="dxa"/>
            </w:tcMar>
            <w:vAlign w:val="top"/>
          </w:tcPr>
          <w:p w:rsidR="0F76AFA6" w:rsidP="0F76AFA6" w:rsidRDefault="0F76AFA6" w14:paraId="1E3D8BBC" w14:textId="49D16D3F">
            <w:pPr>
              <w:spacing w:line="259" w:lineRule="auto"/>
              <w:rPr>
                <w:rFonts w:ascii="Calibri" w:hAnsi="Calibri" w:eastAsia="Calibri" w:cs="Calibri"/>
                <w:b w:val="0"/>
                <w:bCs w:val="0"/>
                <w:i w:val="0"/>
                <w:iCs w:val="0"/>
                <w:sz w:val="28"/>
                <w:szCs w:val="28"/>
              </w:rPr>
            </w:pPr>
          </w:p>
        </w:tc>
        <w:tc>
          <w:tcPr>
            <w:tcW w:w="8850" w:type="dxa"/>
            <w:shd w:val="clear" w:color="auto" w:fill="FFFFFF" w:themeFill="background1"/>
            <w:tcMar>
              <w:left w:w="105" w:type="dxa"/>
              <w:right w:w="105" w:type="dxa"/>
            </w:tcMar>
            <w:vAlign w:val="top"/>
          </w:tcPr>
          <w:p w:rsidR="0F76AFA6" w:rsidP="0F76AFA6" w:rsidRDefault="0F76AFA6" w14:paraId="5892164C" w14:textId="776A51B7">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Measures to reduce fraud, abuse and negligence.</w:t>
            </w:r>
          </w:p>
        </w:tc>
      </w:tr>
      <w:tr w:rsidR="0F76AFA6" w:rsidTr="0F76AFA6" w14:paraId="1609A3B8">
        <w:trPr>
          <w:trHeight w:val="300"/>
        </w:trPr>
        <w:tc>
          <w:tcPr>
            <w:tcW w:w="495" w:type="dxa"/>
            <w:shd w:val="clear" w:color="auto" w:fill="5B9BD5" w:themeFill="accent5"/>
            <w:tcMar>
              <w:left w:w="105" w:type="dxa"/>
              <w:right w:w="105" w:type="dxa"/>
            </w:tcMar>
            <w:vAlign w:val="top"/>
          </w:tcPr>
          <w:p w:rsidR="0F76AFA6" w:rsidP="0F76AFA6" w:rsidRDefault="0F76AFA6" w14:paraId="79D23BE3" w14:textId="4048C294">
            <w:pPr>
              <w:spacing w:line="259" w:lineRule="auto"/>
              <w:rPr>
                <w:rFonts w:ascii="Calibri" w:hAnsi="Calibri" w:eastAsia="Calibri" w:cs="Calibri"/>
                <w:b w:val="0"/>
                <w:bCs w:val="0"/>
                <w:i w:val="0"/>
                <w:iCs w:val="0"/>
                <w:sz w:val="28"/>
                <w:szCs w:val="28"/>
              </w:rPr>
            </w:pPr>
          </w:p>
        </w:tc>
        <w:tc>
          <w:tcPr>
            <w:tcW w:w="8850" w:type="dxa"/>
            <w:shd w:val="clear" w:color="auto" w:fill="FFFFFF" w:themeFill="background1"/>
            <w:tcMar>
              <w:left w:w="105" w:type="dxa"/>
              <w:right w:w="105" w:type="dxa"/>
            </w:tcMar>
            <w:vAlign w:val="top"/>
          </w:tcPr>
          <w:p w:rsidR="0F76AFA6" w:rsidP="0F76AFA6" w:rsidRDefault="0F76AFA6" w14:paraId="1FCC16AA" w14:textId="5EB5B87B">
            <w:pPr>
              <w:spacing w:line="259" w:lineRule="auto"/>
              <w:rPr>
                <w:rFonts w:ascii="Calibri" w:hAnsi="Calibri" w:eastAsia="Calibri" w:cs="Calibri"/>
                <w:b w:val="0"/>
                <w:bCs w:val="0"/>
                <w:i w:val="0"/>
                <w:iCs w:val="0"/>
                <w:sz w:val="28"/>
                <w:szCs w:val="28"/>
              </w:rPr>
            </w:pPr>
            <w:r w:rsidRPr="0F76AFA6" w:rsidR="0F76AFA6">
              <w:rPr>
                <w:rFonts w:ascii="Calibri" w:hAnsi="Calibri" w:eastAsia="Calibri" w:cs="Calibri"/>
                <w:b w:val="0"/>
                <w:bCs w:val="0"/>
                <w:i w:val="0"/>
                <w:iCs w:val="0"/>
                <w:sz w:val="28"/>
                <w:szCs w:val="28"/>
                <w:lang w:val="en-US"/>
              </w:rPr>
              <w:t>Accreditation is annual.</w:t>
            </w:r>
          </w:p>
        </w:tc>
      </w:tr>
    </w:tbl>
    <w:p xmlns:wp14="http://schemas.microsoft.com/office/word/2010/wordml" w:rsidP="0F76AFA6" wp14:paraId="24ECEA1E" wp14:textId="2AD46356">
      <w:pPr>
        <w:spacing w:after="160" w:line="259" w:lineRule="auto"/>
        <w:rPr>
          <w:rFonts w:ascii="Calibri" w:hAnsi="Calibri" w:eastAsia="Calibri" w:cs="Calibri"/>
          <w:b w:val="0"/>
          <w:bCs w:val="0"/>
          <w:i w:val="0"/>
          <w:iCs w:val="0"/>
          <w:caps w:val="0"/>
          <w:smallCaps w:val="0"/>
          <w:noProof w:val="0"/>
          <w:color w:val="000000" w:themeColor="text1" w:themeTint="FF" w:themeShade="FF"/>
          <w:sz w:val="32"/>
          <w:szCs w:val="32"/>
          <w:lang w:val="en-US"/>
        </w:rPr>
      </w:pPr>
    </w:p>
    <w:p xmlns:wp14="http://schemas.microsoft.com/office/word/2010/wordml" w:rsidP="0F76AFA6" wp14:paraId="5E7C5A63" wp14:textId="51A726A2">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0F76AFA6" w:rsidR="40D68ABA">
        <w:rPr>
          <w:rFonts w:ascii="Calibri" w:hAnsi="Calibri" w:eastAsia="Calibri" w:cs="Calibri"/>
          <w:b w:val="0"/>
          <w:bCs w:val="0"/>
          <w:i w:val="0"/>
          <w:iCs w:val="0"/>
          <w:caps w:val="0"/>
          <w:smallCaps w:val="0"/>
          <w:noProof w:val="0"/>
          <w:color w:val="000000" w:themeColor="text1" w:themeTint="FF" w:themeShade="FF"/>
          <w:sz w:val="28"/>
          <w:szCs w:val="28"/>
          <w:lang w:val="en-US"/>
        </w:rPr>
        <w:t>The General Secretariat shall review the requirements periodically and update them in accordance with the requirements of need and interest.</w:t>
      </w:r>
    </w:p>
    <w:p xmlns:wp14="http://schemas.microsoft.com/office/word/2010/wordml" w:rsidP="0F76AFA6" wp14:paraId="415A98EA" wp14:textId="14B3D186">
      <w:pPr>
        <w:spacing w:after="160" w:line="259" w:lineRule="auto"/>
        <w:ind w:left="1440"/>
        <w:rPr>
          <w:rFonts w:ascii="Calibri" w:hAnsi="Calibri" w:eastAsia="Calibri" w:cs="Calibri"/>
          <w:b w:val="0"/>
          <w:bCs w:val="0"/>
          <w:i w:val="0"/>
          <w:iCs w:val="0"/>
          <w:caps w:val="0"/>
          <w:smallCaps w:val="0"/>
          <w:noProof w:val="0"/>
          <w:color w:val="000000" w:themeColor="text1" w:themeTint="FF" w:themeShade="FF"/>
          <w:sz w:val="32"/>
          <w:szCs w:val="32"/>
          <w:lang w:val="en-US"/>
        </w:rPr>
      </w:pPr>
    </w:p>
    <w:p xmlns:wp14="http://schemas.microsoft.com/office/word/2010/wordml" w:rsidP="0F76AFA6" wp14:paraId="2C078E63" wp14:textId="5B966BD7">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109b0cb"/>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5E45AC"/>
    <w:rsid w:val="0F76AFA6"/>
    <w:rsid w:val="2C5E45AC"/>
    <w:rsid w:val="40D68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45AC"/>
  <w15:chartTrackingRefBased/>
  <w15:docId w15:val="{27EDD217-A466-42DB-B6A3-4A995A9344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ea79745e8d2a4728"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83F7B66BDFC4EB78C1210881E124E" ma:contentTypeVersion="1" ma:contentTypeDescription="Create a new document." ma:contentTypeScope="" ma:versionID="886b1ec92b3155b9db457bf776d1612e">
  <xsd:schema xmlns:xsd="http://www.w3.org/2001/XMLSchema" xmlns:xs="http://www.w3.org/2001/XMLSchema" xmlns:p="http://schemas.microsoft.com/office/2006/metadata/properties" xmlns:ns2="1ff36aa1-72e9-4905-b516-98c22966a5fc" targetNamespace="http://schemas.microsoft.com/office/2006/metadata/properties" ma:root="true" ma:fieldsID="2c45ecba66ac6f4fc23bd0716ec76bd4" ns2:_="">
    <xsd:import namespace="1ff36aa1-72e9-4905-b516-98c22966a5fc"/>
    <xsd:element name="properties">
      <xsd:complexType>
        <xsd:sequence>
          <xsd:element name="documentManagement">
            <xsd:complexType>
              <xsd:all>
                <xsd:element ref="ns2: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36aa1-72e9-4905-b516-98c22966a5fc" elementFormDefault="qualified">
    <xsd:import namespace="http://schemas.microsoft.com/office/2006/documentManagement/types"/>
    <xsd:import namespace="http://schemas.microsoft.com/office/infopath/2007/PartnerControls"/>
    <xsd:element name="tag" ma:index="8" nillable="true" ma:displayName="tag" ma:default="requirements" ma:format="Dropdown" ma:internalName="tag">
      <xsd:simpleType>
        <xsd:restriction base="dms:Choice">
          <xsd:enumeration value="standards"/>
          <xsd:enumeration value="require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 xmlns="1ff36aa1-72e9-4905-b516-98c22966a5fc">requirements</tag>
  </documentManagement>
</p:properties>
</file>

<file path=customXml/itemProps1.xml><?xml version="1.0" encoding="utf-8"?>
<ds:datastoreItem xmlns:ds="http://schemas.openxmlformats.org/officeDocument/2006/customXml" ds:itemID="{605C34AD-91FE-4AAB-97AE-C21996260E04}"/>
</file>

<file path=customXml/itemProps2.xml><?xml version="1.0" encoding="utf-8"?>
<ds:datastoreItem xmlns:ds="http://schemas.openxmlformats.org/officeDocument/2006/customXml" ds:itemID="{5E623030-D760-45C4-A0A0-C3D8C87B7784}"/>
</file>

<file path=customXml/itemProps3.xml><?xml version="1.0" encoding="utf-8"?>
<ds:datastoreItem xmlns:ds="http://schemas.openxmlformats.org/officeDocument/2006/customXml" ds:itemID="{1D86F9B1-F2AC-41C1-8073-A03AA79470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Badugaish</dc:creator>
  <cp:keywords/>
  <dc:description/>
  <cp:lastModifiedBy>Omar Badugaish</cp:lastModifiedBy>
  <dcterms:created xsi:type="dcterms:W3CDTF">2023-09-16T17:25:25Z</dcterms:created>
  <dcterms:modified xsi:type="dcterms:W3CDTF">2023-09-16T17:25:42Z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0x01010062683F7B66BDFC4EB78C1210881E124E</vt:lpwstr>
  </property>
</Properties>
</file>